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F9" w:rsidRPr="00BE4C6F" w:rsidRDefault="00CF17F9" w:rsidP="00935E46">
      <w:pPr>
        <w:spacing w:after="80" w:line="240" w:lineRule="auto"/>
        <w:rPr>
          <w:b/>
          <w:sz w:val="24"/>
          <w:szCs w:val="24"/>
        </w:rPr>
      </w:pPr>
      <w:r>
        <w:rPr>
          <w:b/>
          <w:noProof/>
          <w:lang w:eastAsia="en-GB"/>
        </w:rPr>
        <w:drawing>
          <wp:inline distT="0" distB="0" distL="0" distR="0">
            <wp:extent cx="5731510" cy="10020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PlanningSociety_hi-re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002030"/>
                    </a:xfrm>
                    <a:prstGeom prst="rect">
                      <a:avLst/>
                    </a:prstGeom>
                  </pic:spPr>
                </pic:pic>
              </a:graphicData>
            </a:graphic>
          </wp:inline>
        </w:drawing>
      </w:r>
      <w:r w:rsidR="00EF2A7A">
        <w:rPr>
          <w:b/>
          <w:sz w:val="24"/>
          <w:szCs w:val="24"/>
        </w:rPr>
        <w:t>January 15</w:t>
      </w:r>
      <w:r w:rsidR="007E0671" w:rsidRPr="007E0671">
        <w:rPr>
          <w:b/>
          <w:sz w:val="24"/>
          <w:szCs w:val="24"/>
          <w:vertAlign w:val="superscript"/>
        </w:rPr>
        <w:t>th</w:t>
      </w:r>
      <w:r w:rsidR="007E0671">
        <w:rPr>
          <w:b/>
          <w:sz w:val="24"/>
          <w:szCs w:val="24"/>
        </w:rPr>
        <w:t xml:space="preserve"> 2016</w:t>
      </w:r>
      <w:r w:rsidR="0075282E" w:rsidRPr="00BE4C6F">
        <w:rPr>
          <w:b/>
          <w:sz w:val="24"/>
          <w:szCs w:val="24"/>
        </w:rPr>
        <w:t xml:space="preserve"> </w:t>
      </w:r>
    </w:p>
    <w:p w:rsidR="00CF17F9" w:rsidRDefault="00CF17F9" w:rsidP="00935E46">
      <w:pPr>
        <w:spacing w:after="80" w:line="240" w:lineRule="auto"/>
        <w:rPr>
          <w:b/>
          <w:sz w:val="24"/>
          <w:szCs w:val="24"/>
        </w:rPr>
      </w:pPr>
      <w:r w:rsidRPr="00BE4C6F">
        <w:rPr>
          <w:b/>
          <w:sz w:val="24"/>
          <w:szCs w:val="24"/>
        </w:rPr>
        <w:t>For immediate release</w:t>
      </w:r>
    </w:p>
    <w:p w:rsidR="005868C1" w:rsidRPr="00BE4C6F" w:rsidRDefault="005868C1" w:rsidP="00935E46">
      <w:pPr>
        <w:spacing w:after="80" w:line="240" w:lineRule="auto"/>
        <w:rPr>
          <w:b/>
          <w:sz w:val="24"/>
          <w:szCs w:val="24"/>
        </w:rPr>
      </w:pPr>
    </w:p>
    <w:p w:rsidR="00BE4C6F" w:rsidRPr="00BE4C6F" w:rsidRDefault="00BE4C6F" w:rsidP="00935E46">
      <w:pPr>
        <w:spacing w:after="80" w:line="240" w:lineRule="auto"/>
        <w:rPr>
          <w:b/>
          <w:sz w:val="28"/>
          <w:szCs w:val="28"/>
        </w:rPr>
      </w:pPr>
      <w:r w:rsidRPr="00BE4C6F">
        <w:rPr>
          <w:b/>
          <w:sz w:val="28"/>
          <w:szCs w:val="28"/>
        </w:rPr>
        <w:t>WHAT TRANSPORT PLANNERS REALLY THINK</w:t>
      </w:r>
    </w:p>
    <w:p w:rsidR="00D20F68" w:rsidRPr="00BE4C6F" w:rsidRDefault="00EC444F" w:rsidP="00935E46">
      <w:pPr>
        <w:spacing w:after="80" w:line="240" w:lineRule="auto"/>
        <w:rPr>
          <w:b/>
          <w:i/>
          <w:sz w:val="24"/>
          <w:szCs w:val="24"/>
        </w:rPr>
      </w:pPr>
      <w:r w:rsidRPr="00BE4C6F">
        <w:rPr>
          <w:b/>
          <w:i/>
          <w:sz w:val="24"/>
          <w:szCs w:val="24"/>
        </w:rPr>
        <w:t xml:space="preserve">Latest </w:t>
      </w:r>
      <w:r w:rsidR="00C05D78" w:rsidRPr="00BE4C6F">
        <w:rPr>
          <w:b/>
          <w:i/>
          <w:sz w:val="24"/>
          <w:szCs w:val="24"/>
        </w:rPr>
        <w:t xml:space="preserve">TPS </w:t>
      </w:r>
      <w:r w:rsidRPr="00BE4C6F">
        <w:rPr>
          <w:b/>
          <w:i/>
          <w:sz w:val="24"/>
          <w:szCs w:val="24"/>
        </w:rPr>
        <w:t xml:space="preserve">member survey </w:t>
      </w:r>
      <w:r w:rsidR="00D20F68" w:rsidRPr="00BE4C6F">
        <w:rPr>
          <w:b/>
          <w:i/>
          <w:sz w:val="24"/>
          <w:szCs w:val="24"/>
        </w:rPr>
        <w:t>shows divisions o</w:t>
      </w:r>
      <w:r w:rsidR="00BE4C6F" w:rsidRPr="00BE4C6F">
        <w:rPr>
          <w:b/>
          <w:i/>
          <w:sz w:val="24"/>
          <w:szCs w:val="24"/>
        </w:rPr>
        <w:t>n</w:t>
      </w:r>
      <w:r w:rsidR="00D20F68" w:rsidRPr="00BE4C6F">
        <w:rPr>
          <w:b/>
          <w:i/>
          <w:sz w:val="24"/>
          <w:szCs w:val="24"/>
        </w:rPr>
        <w:t xml:space="preserve"> airport expansion but strong support for demand management in general and walking and cycling in particular.  In tune with this there is far more support for local rail improvements than high speed rail.  There is continuing concern over health impacts.  Members overwhelmingly favour greater transport powers for England’s city regions </w:t>
      </w:r>
      <w:r w:rsidR="00EF2A7A">
        <w:rPr>
          <w:b/>
          <w:i/>
          <w:sz w:val="24"/>
          <w:szCs w:val="24"/>
        </w:rPr>
        <w:t xml:space="preserve">but are concerned whether sufficient funds will be available </w:t>
      </w:r>
      <w:r w:rsidR="00D20F68" w:rsidRPr="00BE4C6F">
        <w:rPr>
          <w:b/>
          <w:i/>
          <w:sz w:val="24"/>
          <w:szCs w:val="24"/>
        </w:rPr>
        <w:t xml:space="preserve">and comment on the inconsistent performance of LEPs.  </w:t>
      </w:r>
    </w:p>
    <w:p w:rsidR="005868C1" w:rsidRDefault="00ED5D54" w:rsidP="00935E46">
      <w:pPr>
        <w:spacing w:after="120" w:line="240" w:lineRule="auto"/>
        <w:rPr>
          <w:sz w:val="24"/>
          <w:szCs w:val="24"/>
        </w:rPr>
      </w:pPr>
      <w:r w:rsidRPr="00BE4C6F">
        <w:rPr>
          <w:sz w:val="24"/>
          <w:szCs w:val="24"/>
        </w:rPr>
        <w:t xml:space="preserve">The Transport Planning Society annual survey of its members reveals what has changed and what hasn’t in the </w:t>
      </w:r>
      <w:r w:rsidR="00366298" w:rsidRPr="00BE4C6F">
        <w:rPr>
          <w:sz w:val="24"/>
          <w:szCs w:val="24"/>
        </w:rPr>
        <w:t>past year.</w:t>
      </w:r>
      <w:r w:rsidR="0075282E" w:rsidRPr="00BE4C6F">
        <w:rPr>
          <w:sz w:val="24"/>
          <w:szCs w:val="24"/>
        </w:rPr>
        <w:t xml:space="preserve">  </w:t>
      </w:r>
      <w:r w:rsidR="007E0671">
        <w:rPr>
          <w:sz w:val="24"/>
          <w:szCs w:val="24"/>
        </w:rPr>
        <w:t>R</w:t>
      </w:r>
      <w:r w:rsidR="00130455" w:rsidRPr="00BE4C6F">
        <w:rPr>
          <w:sz w:val="24"/>
          <w:szCs w:val="24"/>
        </w:rPr>
        <w:t>esults confirm th</w:t>
      </w:r>
      <w:r w:rsidR="00BE4C6F" w:rsidRPr="00BE4C6F">
        <w:rPr>
          <w:sz w:val="24"/>
          <w:szCs w:val="24"/>
        </w:rPr>
        <w:t>at the private sector is now recruiting and reviving professional d</w:t>
      </w:r>
      <w:r w:rsidR="007E0671">
        <w:rPr>
          <w:sz w:val="24"/>
          <w:szCs w:val="24"/>
        </w:rPr>
        <w:t>evelopment programmes.</w:t>
      </w:r>
      <w:r w:rsidR="00EF2A7A">
        <w:rPr>
          <w:sz w:val="24"/>
          <w:szCs w:val="24"/>
        </w:rPr>
        <w:t xml:space="preserve">  The r</w:t>
      </w:r>
      <w:r w:rsidR="0051258C">
        <w:rPr>
          <w:sz w:val="24"/>
          <w:szCs w:val="24"/>
        </w:rPr>
        <w:t>esponses</w:t>
      </w:r>
      <w:r w:rsidR="00EF2A7A">
        <w:rPr>
          <w:sz w:val="24"/>
          <w:szCs w:val="24"/>
        </w:rPr>
        <w:t>, from</w:t>
      </w:r>
      <w:r w:rsidR="00A97D0D">
        <w:rPr>
          <w:sz w:val="24"/>
          <w:szCs w:val="24"/>
        </w:rPr>
        <w:t xml:space="preserve"> over</w:t>
      </w:r>
      <w:r w:rsidR="00EF2A7A">
        <w:rPr>
          <w:sz w:val="24"/>
          <w:szCs w:val="24"/>
        </w:rPr>
        <w:t xml:space="preserve"> 20% of the membership,</w:t>
      </w:r>
      <w:r w:rsidR="00BE4C6F" w:rsidRPr="00BE4C6F">
        <w:rPr>
          <w:sz w:val="24"/>
          <w:szCs w:val="24"/>
        </w:rPr>
        <w:t xml:space="preserve"> will help to </w:t>
      </w:r>
      <w:r w:rsidR="00EF2A7A">
        <w:rPr>
          <w:sz w:val="24"/>
          <w:szCs w:val="24"/>
        </w:rPr>
        <w:t xml:space="preserve">guide our events programme, and </w:t>
      </w:r>
      <w:r w:rsidR="00BE4C6F" w:rsidRPr="00BE4C6F">
        <w:rPr>
          <w:sz w:val="24"/>
          <w:szCs w:val="24"/>
        </w:rPr>
        <w:t xml:space="preserve">inform the </w:t>
      </w:r>
      <w:r w:rsidR="007E0671">
        <w:rPr>
          <w:sz w:val="24"/>
          <w:szCs w:val="24"/>
        </w:rPr>
        <w:t>policy work</w:t>
      </w:r>
      <w:r w:rsidR="00BE4C6F" w:rsidRPr="00BE4C6F">
        <w:rPr>
          <w:sz w:val="24"/>
          <w:szCs w:val="24"/>
        </w:rPr>
        <w:t xml:space="preserve"> planned for</w:t>
      </w:r>
      <w:r w:rsidR="007E0671">
        <w:rPr>
          <w:sz w:val="24"/>
          <w:szCs w:val="24"/>
        </w:rPr>
        <w:t xml:space="preserve"> 2016, including the TPS Agenda for Change</w:t>
      </w:r>
      <w:r w:rsidR="00BE4C6F" w:rsidRPr="00BE4C6F">
        <w:rPr>
          <w:sz w:val="24"/>
          <w:szCs w:val="24"/>
        </w:rPr>
        <w:t>.</w:t>
      </w:r>
    </w:p>
    <w:p w:rsidR="005868C1" w:rsidRPr="005868C1" w:rsidRDefault="005868C1" w:rsidP="00935E46">
      <w:pPr>
        <w:spacing w:after="80" w:line="240" w:lineRule="auto"/>
        <w:rPr>
          <w:i/>
          <w:sz w:val="24"/>
          <w:szCs w:val="24"/>
        </w:rPr>
      </w:pPr>
      <w:r>
        <w:rPr>
          <w:i/>
          <w:sz w:val="24"/>
          <w:szCs w:val="24"/>
        </w:rPr>
        <w:t>Respondents and attitudes to qualifications</w:t>
      </w:r>
    </w:p>
    <w:p w:rsidR="00D20F68" w:rsidRPr="00BE4C6F" w:rsidRDefault="00D20F68" w:rsidP="00935E46">
      <w:pPr>
        <w:numPr>
          <w:ilvl w:val="0"/>
          <w:numId w:val="1"/>
        </w:numPr>
        <w:spacing w:after="80" w:line="240" w:lineRule="auto"/>
        <w:rPr>
          <w:sz w:val="24"/>
          <w:szCs w:val="24"/>
        </w:rPr>
      </w:pPr>
      <w:r w:rsidRPr="00BE4C6F">
        <w:rPr>
          <w:sz w:val="24"/>
          <w:szCs w:val="24"/>
        </w:rPr>
        <w:t xml:space="preserve">Similar sectoral split to </w:t>
      </w:r>
      <w:r w:rsidR="007E0671">
        <w:rPr>
          <w:sz w:val="24"/>
          <w:szCs w:val="24"/>
        </w:rPr>
        <w:t>previous years</w:t>
      </w:r>
      <w:r w:rsidRPr="00BE4C6F">
        <w:rPr>
          <w:sz w:val="24"/>
          <w:szCs w:val="24"/>
        </w:rPr>
        <w:t xml:space="preserve"> for the surv</w:t>
      </w:r>
      <w:r w:rsidR="007E0671">
        <w:rPr>
          <w:sz w:val="24"/>
          <w:szCs w:val="24"/>
        </w:rPr>
        <w:t>ey respondents: consultancies 64%, local authorities slightly lower 23</w:t>
      </w:r>
      <w:r w:rsidRPr="00BE4C6F">
        <w:rPr>
          <w:sz w:val="24"/>
          <w:szCs w:val="24"/>
        </w:rPr>
        <w:t>%</w:t>
      </w:r>
      <w:r w:rsidR="007E0671">
        <w:rPr>
          <w:sz w:val="24"/>
          <w:szCs w:val="24"/>
        </w:rPr>
        <w:t xml:space="preserve"> (27% last year).</w:t>
      </w:r>
    </w:p>
    <w:p w:rsidR="00D20F68" w:rsidRPr="00BE4C6F" w:rsidRDefault="00D20F68" w:rsidP="00935E46">
      <w:pPr>
        <w:numPr>
          <w:ilvl w:val="0"/>
          <w:numId w:val="1"/>
        </w:numPr>
        <w:spacing w:after="80" w:line="240" w:lineRule="auto"/>
        <w:rPr>
          <w:sz w:val="24"/>
          <w:szCs w:val="24"/>
        </w:rPr>
      </w:pPr>
      <w:r w:rsidRPr="00BE4C6F">
        <w:rPr>
          <w:sz w:val="24"/>
          <w:szCs w:val="24"/>
        </w:rPr>
        <w:t>In terms of respondents’ locat</w:t>
      </w:r>
      <w:r w:rsidR="007E0671">
        <w:rPr>
          <w:sz w:val="24"/>
          <w:szCs w:val="24"/>
        </w:rPr>
        <w:t>ion, London and SE important (40% - 39</w:t>
      </w:r>
      <w:r w:rsidRPr="00BE4C6F">
        <w:rPr>
          <w:sz w:val="24"/>
          <w:szCs w:val="24"/>
        </w:rPr>
        <w:t>% last year), but other regions</w:t>
      </w:r>
      <w:r w:rsidR="007E0671">
        <w:rPr>
          <w:sz w:val="24"/>
          <w:szCs w:val="24"/>
        </w:rPr>
        <w:t xml:space="preserve"> well represented (W Midlands 9%, NW 15</w:t>
      </w:r>
      <w:r w:rsidRPr="00BE4C6F">
        <w:rPr>
          <w:sz w:val="24"/>
          <w:szCs w:val="24"/>
        </w:rPr>
        <w:t>%, SW 10%)</w:t>
      </w:r>
      <w:r w:rsidR="007E0671">
        <w:rPr>
          <w:sz w:val="24"/>
          <w:szCs w:val="24"/>
        </w:rPr>
        <w:t>.  However, other nations low (7</w:t>
      </w:r>
      <w:r w:rsidRPr="00BE4C6F">
        <w:rPr>
          <w:sz w:val="24"/>
          <w:szCs w:val="24"/>
        </w:rPr>
        <w:t>%) - possibly due to difference in responsibilities and thus perceived lower relevance</w:t>
      </w:r>
    </w:p>
    <w:p w:rsidR="00D20F68" w:rsidRPr="00BE4C6F" w:rsidRDefault="00D20F68" w:rsidP="00935E46">
      <w:pPr>
        <w:numPr>
          <w:ilvl w:val="0"/>
          <w:numId w:val="1"/>
        </w:numPr>
        <w:spacing w:after="80" w:line="240" w:lineRule="auto"/>
        <w:rPr>
          <w:sz w:val="24"/>
          <w:szCs w:val="24"/>
        </w:rPr>
      </w:pPr>
      <w:r w:rsidRPr="00BE4C6F">
        <w:rPr>
          <w:sz w:val="24"/>
          <w:szCs w:val="24"/>
        </w:rPr>
        <w:t>An overall much higher level of participation in the PDS (</w:t>
      </w:r>
      <w:r w:rsidR="007E0671">
        <w:rPr>
          <w:sz w:val="24"/>
          <w:szCs w:val="24"/>
        </w:rPr>
        <w:t>25</w:t>
      </w:r>
      <w:r w:rsidR="002C48D0">
        <w:rPr>
          <w:sz w:val="24"/>
          <w:szCs w:val="24"/>
        </w:rPr>
        <w:t>%</w:t>
      </w:r>
      <w:r w:rsidRPr="00BE4C6F">
        <w:rPr>
          <w:sz w:val="24"/>
          <w:szCs w:val="24"/>
        </w:rPr>
        <w:t xml:space="preserve">, </w:t>
      </w:r>
      <w:r w:rsidR="002C48D0">
        <w:rPr>
          <w:sz w:val="24"/>
          <w:szCs w:val="24"/>
        </w:rPr>
        <w:t xml:space="preserve">was 18% in 2014 but only </w:t>
      </w:r>
      <w:r w:rsidRPr="00BE4C6F">
        <w:rPr>
          <w:sz w:val="24"/>
          <w:szCs w:val="24"/>
        </w:rPr>
        <w:t xml:space="preserve">6% </w:t>
      </w:r>
      <w:r w:rsidR="002C48D0">
        <w:rPr>
          <w:sz w:val="24"/>
          <w:szCs w:val="24"/>
        </w:rPr>
        <w:t>in 2013</w:t>
      </w:r>
      <w:r w:rsidRPr="00BE4C6F">
        <w:rPr>
          <w:sz w:val="24"/>
          <w:szCs w:val="24"/>
        </w:rPr>
        <w:t>)</w:t>
      </w:r>
    </w:p>
    <w:p w:rsidR="00D20F68" w:rsidRPr="00BE4C6F" w:rsidRDefault="00D20F68" w:rsidP="00935E46">
      <w:pPr>
        <w:numPr>
          <w:ilvl w:val="0"/>
          <w:numId w:val="1"/>
        </w:numPr>
        <w:spacing w:after="80" w:line="240" w:lineRule="auto"/>
        <w:rPr>
          <w:sz w:val="24"/>
          <w:szCs w:val="24"/>
        </w:rPr>
      </w:pPr>
      <w:r w:rsidRPr="00BE4C6F">
        <w:rPr>
          <w:sz w:val="24"/>
          <w:szCs w:val="24"/>
        </w:rPr>
        <w:t>Interesting and sometimes trenchant responses to the open ended question on differences between local authorities and the private sector in developing skills – there is serious concern from both sides</w:t>
      </w:r>
    </w:p>
    <w:p w:rsidR="005868C1" w:rsidRDefault="00D20F68" w:rsidP="00A97D0D">
      <w:pPr>
        <w:numPr>
          <w:ilvl w:val="0"/>
          <w:numId w:val="1"/>
        </w:numPr>
        <w:spacing w:after="120" w:line="240" w:lineRule="auto"/>
        <w:rPr>
          <w:sz w:val="24"/>
          <w:szCs w:val="24"/>
        </w:rPr>
      </w:pPr>
      <w:r w:rsidRPr="00BE4C6F">
        <w:rPr>
          <w:sz w:val="24"/>
          <w:szCs w:val="24"/>
        </w:rPr>
        <w:t>High awareness of the Transport Planning Prof</w:t>
      </w:r>
      <w:r w:rsidR="002C48D0">
        <w:rPr>
          <w:sz w:val="24"/>
          <w:szCs w:val="24"/>
        </w:rPr>
        <w:t>essional (TPP) qualification (98</w:t>
      </w:r>
      <w:r w:rsidRPr="00BE4C6F">
        <w:rPr>
          <w:sz w:val="24"/>
          <w:szCs w:val="24"/>
        </w:rPr>
        <w:t xml:space="preserve">%) but still a significant number </w:t>
      </w:r>
      <w:r w:rsidR="002C48D0">
        <w:rPr>
          <w:sz w:val="24"/>
          <w:szCs w:val="24"/>
        </w:rPr>
        <w:t>with no plans to apply (46</w:t>
      </w:r>
      <w:r w:rsidRPr="00BE4C6F">
        <w:rPr>
          <w:sz w:val="24"/>
          <w:szCs w:val="24"/>
        </w:rPr>
        <w:t xml:space="preserve">%).  </w:t>
      </w:r>
      <w:r w:rsidR="00386813">
        <w:rPr>
          <w:sz w:val="24"/>
          <w:szCs w:val="24"/>
        </w:rPr>
        <w:t>Widening gap between local authorities (76% with no plans) and consultancies (33% with no plans).  Figures last year were LAs 73% and consultancies 44%.</w:t>
      </w:r>
      <w:bookmarkStart w:id="0" w:name="_GoBack"/>
      <w:bookmarkEnd w:id="0"/>
    </w:p>
    <w:p w:rsidR="005868C1" w:rsidRPr="005868C1" w:rsidRDefault="005868C1" w:rsidP="00935E46">
      <w:pPr>
        <w:spacing w:after="80" w:line="240" w:lineRule="auto"/>
        <w:rPr>
          <w:i/>
          <w:sz w:val="24"/>
          <w:szCs w:val="24"/>
        </w:rPr>
      </w:pPr>
      <w:r>
        <w:rPr>
          <w:i/>
          <w:sz w:val="24"/>
          <w:szCs w:val="24"/>
        </w:rPr>
        <w:t>Policy priorities</w:t>
      </w:r>
    </w:p>
    <w:p w:rsidR="00D20F68" w:rsidRPr="00BE4C6F" w:rsidRDefault="00D20F68" w:rsidP="00935E46">
      <w:pPr>
        <w:numPr>
          <w:ilvl w:val="0"/>
          <w:numId w:val="1"/>
        </w:numPr>
        <w:spacing w:after="80" w:line="240" w:lineRule="auto"/>
        <w:rPr>
          <w:sz w:val="24"/>
          <w:szCs w:val="24"/>
        </w:rPr>
      </w:pPr>
      <w:r w:rsidRPr="00BE4C6F">
        <w:rPr>
          <w:sz w:val="24"/>
          <w:szCs w:val="24"/>
        </w:rPr>
        <w:t>In relation to policy priorities, walking and cycling conti</w:t>
      </w:r>
      <w:r w:rsidR="002C48D0">
        <w:rPr>
          <w:sz w:val="24"/>
          <w:szCs w:val="24"/>
        </w:rPr>
        <w:t>nue as members’ first choice (60%) as in 2012,</w:t>
      </w:r>
      <w:r w:rsidRPr="00BE4C6F">
        <w:rPr>
          <w:sz w:val="24"/>
          <w:szCs w:val="24"/>
        </w:rPr>
        <w:t xml:space="preserve"> 2013</w:t>
      </w:r>
      <w:r w:rsidR="002C48D0">
        <w:rPr>
          <w:sz w:val="24"/>
          <w:szCs w:val="24"/>
        </w:rPr>
        <w:t xml:space="preserve"> and 2014!</w:t>
      </w:r>
    </w:p>
    <w:p w:rsidR="00D20F68" w:rsidRPr="00BE4C6F" w:rsidRDefault="00D20F68" w:rsidP="00935E46">
      <w:pPr>
        <w:numPr>
          <w:ilvl w:val="0"/>
          <w:numId w:val="1"/>
        </w:numPr>
        <w:spacing w:after="80" w:line="240" w:lineRule="auto"/>
        <w:rPr>
          <w:sz w:val="24"/>
          <w:szCs w:val="24"/>
        </w:rPr>
      </w:pPr>
      <w:r w:rsidRPr="00BE4C6F">
        <w:rPr>
          <w:sz w:val="24"/>
          <w:szCs w:val="24"/>
        </w:rPr>
        <w:t>There was also confirmation of members’ priority for non-high speed rail capacity increases (</w:t>
      </w:r>
      <w:r w:rsidR="002C48D0">
        <w:rPr>
          <w:sz w:val="24"/>
          <w:szCs w:val="24"/>
        </w:rPr>
        <w:t>49</w:t>
      </w:r>
      <w:r w:rsidR="00BE4C6F" w:rsidRPr="00BE4C6F">
        <w:rPr>
          <w:sz w:val="24"/>
          <w:szCs w:val="24"/>
        </w:rPr>
        <w:t xml:space="preserve">% - </w:t>
      </w:r>
      <w:r w:rsidRPr="00BE4C6F">
        <w:rPr>
          <w:sz w:val="24"/>
          <w:szCs w:val="24"/>
        </w:rPr>
        <w:t xml:space="preserve">second place to walk/cycle) while high speed rail </w:t>
      </w:r>
      <w:r w:rsidR="002C48D0">
        <w:rPr>
          <w:sz w:val="24"/>
          <w:szCs w:val="24"/>
        </w:rPr>
        <w:t>has fallen from a modest base</w:t>
      </w:r>
      <w:r w:rsidRPr="00BE4C6F">
        <w:rPr>
          <w:sz w:val="24"/>
          <w:szCs w:val="24"/>
        </w:rPr>
        <w:t xml:space="preserve"> (</w:t>
      </w:r>
      <w:r w:rsidR="002C48D0">
        <w:rPr>
          <w:sz w:val="24"/>
          <w:szCs w:val="24"/>
        </w:rPr>
        <w:t>17% this year, 22% in 2014</w:t>
      </w:r>
      <w:r w:rsidRPr="00BE4C6F">
        <w:rPr>
          <w:sz w:val="24"/>
          <w:szCs w:val="24"/>
        </w:rPr>
        <w:t>)</w:t>
      </w:r>
    </w:p>
    <w:p w:rsidR="00D20F68" w:rsidRDefault="00D20F68" w:rsidP="00935E46">
      <w:pPr>
        <w:numPr>
          <w:ilvl w:val="0"/>
          <w:numId w:val="1"/>
        </w:numPr>
        <w:spacing w:after="80" w:line="240" w:lineRule="auto"/>
        <w:rPr>
          <w:sz w:val="24"/>
          <w:szCs w:val="24"/>
        </w:rPr>
      </w:pPr>
      <w:r w:rsidRPr="00BE4C6F">
        <w:rPr>
          <w:sz w:val="24"/>
          <w:szCs w:val="24"/>
        </w:rPr>
        <w:lastRenderedPageBreak/>
        <w:t xml:space="preserve">Support for major trunk road schemes has </w:t>
      </w:r>
      <w:r w:rsidR="002C48D0">
        <w:rPr>
          <w:sz w:val="24"/>
          <w:szCs w:val="24"/>
        </w:rPr>
        <w:t xml:space="preserve">risen slightly </w:t>
      </w:r>
      <w:r w:rsidRPr="00BE4C6F">
        <w:rPr>
          <w:sz w:val="24"/>
          <w:szCs w:val="24"/>
        </w:rPr>
        <w:t>from a low base</w:t>
      </w:r>
      <w:r w:rsidR="002C48D0">
        <w:rPr>
          <w:sz w:val="24"/>
          <w:szCs w:val="24"/>
        </w:rPr>
        <w:t xml:space="preserve"> back to 2012 levels – now 15% (11% last year and 12% in 2013</w:t>
      </w:r>
      <w:r w:rsidRPr="00BE4C6F">
        <w:rPr>
          <w:sz w:val="24"/>
          <w:szCs w:val="24"/>
        </w:rPr>
        <w:t>)</w:t>
      </w:r>
    </w:p>
    <w:p w:rsidR="005868C1" w:rsidRPr="005868C1" w:rsidRDefault="005868C1" w:rsidP="00935E46">
      <w:pPr>
        <w:pStyle w:val="ListParagraph"/>
        <w:numPr>
          <w:ilvl w:val="0"/>
          <w:numId w:val="1"/>
        </w:numPr>
        <w:spacing w:after="80" w:line="240" w:lineRule="auto"/>
        <w:rPr>
          <w:sz w:val="24"/>
          <w:szCs w:val="24"/>
        </w:rPr>
      </w:pPr>
      <w:r w:rsidRPr="005868C1">
        <w:rPr>
          <w:sz w:val="24"/>
          <w:szCs w:val="24"/>
        </w:rPr>
        <w:t xml:space="preserve">Top 5 policy priorities </w:t>
      </w:r>
      <w:r>
        <w:rPr>
          <w:sz w:val="24"/>
          <w:szCs w:val="24"/>
        </w:rPr>
        <w:t xml:space="preserve">in </w:t>
      </w:r>
      <w:r w:rsidRPr="005868C1">
        <w:rPr>
          <w:sz w:val="24"/>
          <w:szCs w:val="24"/>
        </w:rPr>
        <w:t>2015</w:t>
      </w:r>
      <w:r>
        <w:rPr>
          <w:sz w:val="24"/>
          <w:szCs w:val="24"/>
        </w:rPr>
        <w:t xml:space="preserve"> were:</w:t>
      </w:r>
    </w:p>
    <w:tbl>
      <w:tblPr>
        <w:tblStyle w:val="TableGrid"/>
        <w:tblW w:w="0" w:type="auto"/>
        <w:tblLook w:val="04A0" w:firstRow="1" w:lastRow="0" w:firstColumn="1" w:lastColumn="0" w:noHBand="0" w:noVBand="1"/>
      </w:tblPr>
      <w:tblGrid>
        <w:gridCol w:w="5353"/>
        <w:gridCol w:w="1276"/>
      </w:tblGrid>
      <w:tr w:rsidR="005868C1" w:rsidRPr="007E0671" w:rsidTr="00DF55A2">
        <w:trPr>
          <w:trHeight w:val="264"/>
        </w:trPr>
        <w:tc>
          <w:tcPr>
            <w:tcW w:w="5353" w:type="dxa"/>
            <w:hideMark/>
          </w:tcPr>
          <w:p w:rsidR="005868C1" w:rsidRPr="007E0671" w:rsidRDefault="005868C1" w:rsidP="00935E46">
            <w:pPr>
              <w:spacing w:after="80"/>
              <w:ind w:left="360"/>
              <w:rPr>
                <w:sz w:val="24"/>
                <w:szCs w:val="24"/>
              </w:rPr>
            </w:pPr>
            <w:r w:rsidRPr="007E0671">
              <w:rPr>
                <w:sz w:val="24"/>
                <w:szCs w:val="24"/>
              </w:rPr>
              <w:t>Walking/cycling</w:t>
            </w:r>
          </w:p>
        </w:tc>
        <w:tc>
          <w:tcPr>
            <w:tcW w:w="1276" w:type="dxa"/>
            <w:noWrap/>
            <w:hideMark/>
          </w:tcPr>
          <w:p w:rsidR="005868C1" w:rsidRPr="007E0671" w:rsidRDefault="00EF2A7A" w:rsidP="00935E46">
            <w:pPr>
              <w:spacing w:after="80"/>
              <w:ind w:left="360"/>
              <w:rPr>
                <w:sz w:val="24"/>
                <w:szCs w:val="24"/>
              </w:rPr>
            </w:pPr>
            <w:r>
              <w:rPr>
                <w:sz w:val="24"/>
                <w:szCs w:val="24"/>
              </w:rPr>
              <w:t>60</w:t>
            </w:r>
            <w:r w:rsidR="005868C1" w:rsidRPr="007E0671">
              <w:rPr>
                <w:sz w:val="24"/>
                <w:szCs w:val="24"/>
              </w:rPr>
              <w:t>%</w:t>
            </w:r>
          </w:p>
        </w:tc>
      </w:tr>
      <w:tr w:rsidR="005868C1" w:rsidRPr="007E0671" w:rsidTr="00DF55A2">
        <w:trPr>
          <w:trHeight w:val="264"/>
        </w:trPr>
        <w:tc>
          <w:tcPr>
            <w:tcW w:w="5353" w:type="dxa"/>
            <w:hideMark/>
          </w:tcPr>
          <w:p w:rsidR="005868C1" w:rsidRPr="007E0671" w:rsidRDefault="005868C1" w:rsidP="00935E46">
            <w:pPr>
              <w:spacing w:after="80"/>
              <w:ind w:left="360"/>
              <w:rPr>
                <w:sz w:val="24"/>
                <w:szCs w:val="24"/>
              </w:rPr>
            </w:pPr>
            <w:r w:rsidRPr="007E0671">
              <w:rPr>
                <w:sz w:val="24"/>
                <w:szCs w:val="24"/>
              </w:rPr>
              <w:t>Non-High Speed railway capacity improvements</w:t>
            </w:r>
          </w:p>
        </w:tc>
        <w:tc>
          <w:tcPr>
            <w:tcW w:w="1276" w:type="dxa"/>
            <w:noWrap/>
            <w:hideMark/>
          </w:tcPr>
          <w:p w:rsidR="005868C1" w:rsidRPr="007E0671" w:rsidRDefault="00EF2A7A" w:rsidP="00935E46">
            <w:pPr>
              <w:spacing w:after="80"/>
              <w:ind w:left="360"/>
              <w:rPr>
                <w:sz w:val="24"/>
                <w:szCs w:val="24"/>
              </w:rPr>
            </w:pPr>
            <w:r>
              <w:rPr>
                <w:sz w:val="24"/>
                <w:szCs w:val="24"/>
              </w:rPr>
              <w:t>49</w:t>
            </w:r>
            <w:r w:rsidR="005868C1" w:rsidRPr="007E0671">
              <w:rPr>
                <w:sz w:val="24"/>
                <w:szCs w:val="24"/>
              </w:rPr>
              <w:t>%</w:t>
            </w:r>
          </w:p>
        </w:tc>
      </w:tr>
      <w:tr w:rsidR="005868C1" w:rsidRPr="007E0671" w:rsidTr="00DF55A2">
        <w:trPr>
          <w:trHeight w:val="264"/>
        </w:trPr>
        <w:tc>
          <w:tcPr>
            <w:tcW w:w="5353" w:type="dxa"/>
            <w:hideMark/>
          </w:tcPr>
          <w:p w:rsidR="005868C1" w:rsidRPr="007E0671" w:rsidRDefault="005868C1" w:rsidP="00935E46">
            <w:pPr>
              <w:spacing w:after="80"/>
              <w:ind w:left="360"/>
              <w:rPr>
                <w:sz w:val="24"/>
                <w:szCs w:val="24"/>
              </w:rPr>
            </w:pPr>
            <w:r w:rsidRPr="007E0671">
              <w:rPr>
                <w:sz w:val="24"/>
                <w:szCs w:val="24"/>
              </w:rPr>
              <w:t>Travel behaviour change (Smarter Choices)</w:t>
            </w:r>
          </w:p>
        </w:tc>
        <w:tc>
          <w:tcPr>
            <w:tcW w:w="1276" w:type="dxa"/>
            <w:noWrap/>
            <w:hideMark/>
          </w:tcPr>
          <w:p w:rsidR="005868C1" w:rsidRPr="007E0671" w:rsidRDefault="00EF2A7A" w:rsidP="00935E46">
            <w:pPr>
              <w:spacing w:after="80"/>
              <w:ind w:left="360"/>
              <w:rPr>
                <w:sz w:val="24"/>
                <w:szCs w:val="24"/>
              </w:rPr>
            </w:pPr>
            <w:r>
              <w:rPr>
                <w:sz w:val="24"/>
                <w:szCs w:val="24"/>
              </w:rPr>
              <w:t>43</w:t>
            </w:r>
            <w:r w:rsidR="005868C1" w:rsidRPr="007E0671">
              <w:rPr>
                <w:sz w:val="24"/>
                <w:szCs w:val="24"/>
              </w:rPr>
              <w:t>%</w:t>
            </w:r>
          </w:p>
        </w:tc>
      </w:tr>
      <w:tr w:rsidR="005868C1" w:rsidRPr="007E0671" w:rsidTr="00DF55A2">
        <w:trPr>
          <w:trHeight w:val="264"/>
        </w:trPr>
        <w:tc>
          <w:tcPr>
            <w:tcW w:w="5353" w:type="dxa"/>
            <w:hideMark/>
          </w:tcPr>
          <w:p w:rsidR="005868C1" w:rsidRPr="007E0671" w:rsidRDefault="005868C1" w:rsidP="00935E46">
            <w:pPr>
              <w:spacing w:after="80"/>
              <w:ind w:left="360"/>
              <w:rPr>
                <w:sz w:val="24"/>
                <w:szCs w:val="24"/>
              </w:rPr>
            </w:pPr>
            <w:r w:rsidRPr="007E0671">
              <w:rPr>
                <w:sz w:val="24"/>
                <w:szCs w:val="24"/>
              </w:rPr>
              <w:t>Tackling poor air quality</w:t>
            </w:r>
          </w:p>
        </w:tc>
        <w:tc>
          <w:tcPr>
            <w:tcW w:w="1276" w:type="dxa"/>
            <w:noWrap/>
            <w:hideMark/>
          </w:tcPr>
          <w:p w:rsidR="005868C1" w:rsidRPr="007E0671" w:rsidRDefault="00EF2A7A" w:rsidP="00935E46">
            <w:pPr>
              <w:spacing w:after="80"/>
              <w:ind w:left="360"/>
              <w:rPr>
                <w:sz w:val="24"/>
                <w:szCs w:val="24"/>
              </w:rPr>
            </w:pPr>
            <w:r>
              <w:rPr>
                <w:sz w:val="24"/>
                <w:szCs w:val="24"/>
              </w:rPr>
              <w:t>33</w:t>
            </w:r>
            <w:r w:rsidR="005868C1" w:rsidRPr="007E0671">
              <w:rPr>
                <w:sz w:val="24"/>
                <w:szCs w:val="24"/>
              </w:rPr>
              <w:t>%</w:t>
            </w:r>
          </w:p>
        </w:tc>
      </w:tr>
      <w:tr w:rsidR="005868C1" w:rsidRPr="007E0671" w:rsidTr="00DF55A2">
        <w:trPr>
          <w:trHeight w:val="264"/>
        </w:trPr>
        <w:tc>
          <w:tcPr>
            <w:tcW w:w="5353" w:type="dxa"/>
            <w:hideMark/>
          </w:tcPr>
          <w:p w:rsidR="005868C1" w:rsidRPr="007E0671" w:rsidRDefault="005868C1" w:rsidP="00935E46">
            <w:pPr>
              <w:spacing w:after="80"/>
              <w:ind w:left="360"/>
              <w:rPr>
                <w:sz w:val="24"/>
                <w:szCs w:val="24"/>
              </w:rPr>
            </w:pPr>
            <w:r w:rsidRPr="007E0671">
              <w:rPr>
                <w:sz w:val="24"/>
                <w:szCs w:val="24"/>
              </w:rPr>
              <w:t>Road maintenance</w:t>
            </w:r>
          </w:p>
        </w:tc>
        <w:tc>
          <w:tcPr>
            <w:tcW w:w="1276" w:type="dxa"/>
            <w:noWrap/>
            <w:hideMark/>
          </w:tcPr>
          <w:p w:rsidR="005868C1" w:rsidRPr="007E0671" w:rsidRDefault="00EF2A7A" w:rsidP="00935E46">
            <w:pPr>
              <w:spacing w:after="80"/>
              <w:ind w:left="360"/>
              <w:rPr>
                <w:sz w:val="24"/>
                <w:szCs w:val="24"/>
              </w:rPr>
            </w:pPr>
            <w:r>
              <w:rPr>
                <w:sz w:val="24"/>
                <w:szCs w:val="24"/>
              </w:rPr>
              <w:t>32</w:t>
            </w:r>
            <w:r w:rsidR="005868C1" w:rsidRPr="007E0671">
              <w:rPr>
                <w:sz w:val="24"/>
                <w:szCs w:val="24"/>
              </w:rPr>
              <w:t>%</w:t>
            </w:r>
          </w:p>
        </w:tc>
      </w:tr>
    </w:tbl>
    <w:p w:rsidR="005868C1" w:rsidRDefault="005868C1" w:rsidP="00935E46">
      <w:pPr>
        <w:spacing w:after="80" w:line="240" w:lineRule="auto"/>
        <w:ind w:left="720"/>
        <w:rPr>
          <w:sz w:val="24"/>
          <w:szCs w:val="24"/>
        </w:rPr>
      </w:pPr>
    </w:p>
    <w:p w:rsidR="00935E46" w:rsidRDefault="00935E46" w:rsidP="00935E46">
      <w:pPr>
        <w:spacing w:after="80" w:line="240" w:lineRule="auto"/>
        <w:rPr>
          <w:i/>
          <w:sz w:val="24"/>
          <w:szCs w:val="24"/>
        </w:rPr>
      </w:pPr>
      <w:r>
        <w:rPr>
          <w:i/>
          <w:sz w:val="24"/>
          <w:szCs w:val="24"/>
        </w:rPr>
        <w:t>Revenue for transport</w:t>
      </w:r>
    </w:p>
    <w:p w:rsidR="00935E46" w:rsidRDefault="00935E46" w:rsidP="00935E46">
      <w:pPr>
        <w:spacing w:after="80" w:line="240" w:lineRule="auto"/>
        <w:rPr>
          <w:sz w:val="24"/>
          <w:szCs w:val="24"/>
        </w:rPr>
      </w:pPr>
      <w:r>
        <w:rPr>
          <w:sz w:val="24"/>
          <w:szCs w:val="24"/>
        </w:rPr>
        <w:t>In terms of raising funds for transport nationally, members still favour road user charging, the top 5 were:</w:t>
      </w:r>
    </w:p>
    <w:tbl>
      <w:tblPr>
        <w:tblStyle w:val="TableGrid"/>
        <w:tblW w:w="0" w:type="auto"/>
        <w:tblLook w:val="04A0" w:firstRow="1" w:lastRow="0" w:firstColumn="1" w:lastColumn="0" w:noHBand="0" w:noVBand="1"/>
      </w:tblPr>
      <w:tblGrid>
        <w:gridCol w:w="5920"/>
      </w:tblGrid>
      <w:tr w:rsidR="00935E46" w:rsidRPr="00935E46" w:rsidTr="00935E46">
        <w:trPr>
          <w:trHeight w:val="264"/>
        </w:trPr>
        <w:tc>
          <w:tcPr>
            <w:tcW w:w="5920" w:type="dxa"/>
            <w:noWrap/>
            <w:hideMark/>
          </w:tcPr>
          <w:p w:rsidR="00935E46" w:rsidRPr="00935E46" w:rsidRDefault="00935E46" w:rsidP="00935E46">
            <w:pPr>
              <w:spacing w:after="80"/>
              <w:rPr>
                <w:sz w:val="24"/>
                <w:szCs w:val="24"/>
              </w:rPr>
            </w:pPr>
            <w:r w:rsidRPr="00935E46">
              <w:rPr>
                <w:sz w:val="24"/>
                <w:szCs w:val="24"/>
              </w:rPr>
              <w:t>Introduce national road user pricing</w:t>
            </w:r>
          </w:p>
        </w:tc>
      </w:tr>
      <w:tr w:rsidR="00935E46" w:rsidRPr="00935E46" w:rsidTr="00935E46">
        <w:trPr>
          <w:trHeight w:val="264"/>
        </w:trPr>
        <w:tc>
          <w:tcPr>
            <w:tcW w:w="5920" w:type="dxa"/>
            <w:noWrap/>
            <w:hideMark/>
          </w:tcPr>
          <w:p w:rsidR="00935E46" w:rsidRPr="00935E46" w:rsidRDefault="00935E46" w:rsidP="00935E46">
            <w:pPr>
              <w:spacing w:after="80"/>
              <w:rPr>
                <w:sz w:val="24"/>
                <w:szCs w:val="24"/>
              </w:rPr>
            </w:pPr>
            <w:r w:rsidRPr="00935E46">
              <w:rPr>
                <w:sz w:val="24"/>
                <w:szCs w:val="24"/>
              </w:rPr>
              <w:t>Increasing VED for the most polluting vehicles</w:t>
            </w:r>
          </w:p>
        </w:tc>
      </w:tr>
      <w:tr w:rsidR="00935E46" w:rsidRPr="00935E46" w:rsidTr="00935E46">
        <w:trPr>
          <w:trHeight w:val="264"/>
        </w:trPr>
        <w:tc>
          <w:tcPr>
            <w:tcW w:w="5920" w:type="dxa"/>
            <w:noWrap/>
            <w:hideMark/>
          </w:tcPr>
          <w:p w:rsidR="00935E46" w:rsidRPr="00935E46" w:rsidRDefault="00935E46" w:rsidP="00935E46">
            <w:pPr>
              <w:spacing w:after="80"/>
              <w:rPr>
                <w:sz w:val="24"/>
                <w:szCs w:val="24"/>
              </w:rPr>
            </w:pPr>
            <w:r w:rsidRPr="00935E46">
              <w:rPr>
                <w:sz w:val="24"/>
                <w:szCs w:val="24"/>
              </w:rPr>
              <w:t>Introduce national Lorry Road User Charging</w:t>
            </w:r>
          </w:p>
        </w:tc>
      </w:tr>
      <w:tr w:rsidR="00935E46" w:rsidRPr="00935E46" w:rsidTr="00935E46">
        <w:trPr>
          <w:trHeight w:val="264"/>
        </w:trPr>
        <w:tc>
          <w:tcPr>
            <w:tcW w:w="5920" w:type="dxa"/>
            <w:noWrap/>
            <w:hideMark/>
          </w:tcPr>
          <w:p w:rsidR="00935E46" w:rsidRPr="00935E46" w:rsidRDefault="00935E46" w:rsidP="00935E46">
            <w:pPr>
              <w:spacing w:after="80"/>
              <w:rPr>
                <w:sz w:val="24"/>
                <w:szCs w:val="24"/>
              </w:rPr>
            </w:pPr>
            <w:r w:rsidRPr="00935E46">
              <w:rPr>
                <w:sz w:val="24"/>
                <w:szCs w:val="24"/>
              </w:rPr>
              <w:t>Increase the scope and raise the level of tax on aviation</w:t>
            </w:r>
          </w:p>
        </w:tc>
      </w:tr>
      <w:tr w:rsidR="00935E46" w:rsidRPr="00935E46" w:rsidTr="00935E46">
        <w:trPr>
          <w:trHeight w:val="264"/>
        </w:trPr>
        <w:tc>
          <w:tcPr>
            <w:tcW w:w="5920" w:type="dxa"/>
            <w:noWrap/>
            <w:hideMark/>
          </w:tcPr>
          <w:p w:rsidR="00935E46" w:rsidRPr="00935E46" w:rsidRDefault="00935E46" w:rsidP="00935E46">
            <w:pPr>
              <w:spacing w:after="80"/>
              <w:rPr>
                <w:sz w:val="24"/>
                <w:szCs w:val="24"/>
              </w:rPr>
            </w:pPr>
            <w:r w:rsidRPr="00935E46">
              <w:rPr>
                <w:sz w:val="24"/>
                <w:szCs w:val="24"/>
              </w:rPr>
              <w:t>Introduce a national parking space levy</w:t>
            </w:r>
          </w:p>
        </w:tc>
      </w:tr>
    </w:tbl>
    <w:p w:rsidR="00935E46" w:rsidRDefault="00935E46" w:rsidP="00935E46">
      <w:pPr>
        <w:spacing w:after="80" w:line="240" w:lineRule="auto"/>
        <w:rPr>
          <w:sz w:val="24"/>
          <w:szCs w:val="24"/>
        </w:rPr>
      </w:pPr>
    </w:p>
    <w:p w:rsidR="005868C1" w:rsidRPr="005868C1" w:rsidRDefault="005868C1" w:rsidP="00935E46">
      <w:pPr>
        <w:spacing w:after="80" w:line="240" w:lineRule="auto"/>
        <w:rPr>
          <w:i/>
          <w:sz w:val="24"/>
          <w:szCs w:val="24"/>
        </w:rPr>
      </w:pPr>
      <w:r>
        <w:rPr>
          <w:i/>
          <w:sz w:val="24"/>
          <w:szCs w:val="24"/>
        </w:rPr>
        <w:t>Policy drivers and governance</w:t>
      </w:r>
    </w:p>
    <w:p w:rsidR="00D20F68" w:rsidRPr="00BE4C6F" w:rsidRDefault="00D20F68" w:rsidP="00935E46">
      <w:pPr>
        <w:numPr>
          <w:ilvl w:val="0"/>
          <w:numId w:val="1"/>
        </w:numPr>
        <w:spacing w:after="80" w:line="240" w:lineRule="auto"/>
        <w:rPr>
          <w:sz w:val="24"/>
          <w:szCs w:val="24"/>
        </w:rPr>
      </w:pPr>
      <w:r w:rsidRPr="00BE4C6F">
        <w:rPr>
          <w:sz w:val="24"/>
          <w:szCs w:val="24"/>
        </w:rPr>
        <w:t xml:space="preserve">In relation to policy drivers, using planning to reduce the need to travel </w:t>
      </w:r>
      <w:r w:rsidR="002C48D0">
        <w:rPr>
          <w:sz w:val="24"/>
          <w:szCs w:val="24"/>
        </w:rPr>
        <w:t>was the</w:t>
      </w:r>
      <w:r w:rsidRPr="00BE4C6F">
        <w:rPr>
          <w:sz w:val="24"/>
          <w:szCs w:val="24"/>
        </w:rPr>
        <w:t xml:space="preserve"> priority, but last year’s increased priority for linking transport and health was consolidated (89% thought it important or very important</w:t>
      </w:r>
      <w:r w:rsidR="002C48D0">
        <w:rPr>
          <w:sz w:val="24"/>
          <w:szCs w:val="24"/>
        </w:rPr>
        <w:t xml:space="preserve"> – same as 2014</w:t>
      </w:r>
      <w:r w:rsidRPr="00BE4C6F">
        <w:rPr>
          <w:sz w:val="24"/>
          <w:szCs w:val="24"/>
        </w:rPr>
        <w:t>)</w:t>
      </w:r>
    </w:p>
    <w:p w:rsidR="00D20F68" w:rsidRPr="00BE4C6F" w:rsidRDefault="003A15C4" w:rsidP="00935E46">
      <w:pPr>
        <w:numPr>
          <w:ilvl w:val="0"/>
          <w:numId w:val="1"/>
        </w:numPr>
        <w:spacing w:after="80" w:line="240" w:lineRule="auto"/>
        <w:rPr>
          <w:sz w:val="24"/>
          <w:szCs w:val="24"/>
        </w:rPr>
      </w:pPr>
      <w:r>
        <w:rPr>
          <w:sz w:val="24"/>
          <w:szCs w:val="24"/>
        </w:rPr>
        <w:t>Slight rise in support for regional airport expansion rather than SE, but overall fairly even split</w:t>
      </w:r>
      <w:r w:rsidR="00D20F68" w:rsidRPr="00BE4C6F">
        <w:rPr>
          <w:sz w:val="24"/>
          <w:szCs w:val="24"/>
        </w:rPr>
        <w:t xml:space="preserve"> between the need for more runway capacity in the SE (</w:t>
      </w:r>
      <w:r>
        <w:rPr>
          <w:sz w:val="24"/>
          <w:szCs w:val="24"/>
        </w:rPr>
        <w:t>31%), more regional capacity (37</w:t>
      </w:r>
      <w:r w:rsidR="00D20F68" w:rsidRPr="00BE4C6F">
        <w:rPr>
          <w:sz w:val="24"/>
          <w:szCs w:val="24"/>
        </w:rPr>
        <w:t>%), or i</w:t>
      </w:r>
      <w:r>
        <w:rPr>
          <w:sz w:val="24"/>
          <w:szCs w:val="24"/>
        </w:rPr>
        <w:t>mplementing tax reform first (33</w:t>
      </w:r>
      <w:r w:rsidR="00D20F68" w:rsidRPr="00BE4C6F">
        <w:rPr>
          <w:sz w:val="24"/>
          <w:szCs w:val="24"/>
        </w:rPr>
        <w:t>%</w:t>
      </w:r>
      <w:r>
        <w:rPr>
          <w:sz w:val="24"/>
          <w:szCs w:val="24"/>
        </w:rPr>
        <w:t>)</w:t>
      </w:r>
    </w:p>
    <w:p w:rsidR="003A15C4" w:rsidRDefault="00D20F68" w:rsidP="00935E46">
      <w:pPr>
        <w:numPr>
          <w:ilvl w:val="0"/>
          <w:numId w:val="1"/>
        </w:numPr>
        <w:spacing w:after="80" w:line="240" w:lineRule="auto"/>
        <w:rPr>
          <w:sz w:val="24"/>
          <w:szCs w:val="24"/>
        </w:rPr>
      </w:pPr>
      <w:r w:rsidRPr="003A15C4">
        <w:rPr>
          <w:sz w:val="24"/>
          <w:szCs w:val="24"/>
        </w:rPr>
        <w:t>Continuing s</w:t>
      </w:r>
      <w:r w:rsidR="003A15C4" w:rsidRPr="003A15C4">
        <w:rPr>
          <w:sz w:val="24"/>
          <w:szCs w:val="24"/>
        </w:rPr>
        <w:t xml:space="preserve">upport for reform of appraisal and </w:t>
      </w:r>
      <w:r w:rsidRPr="003A15C4">
        <w:rPr>
          <w:sz w:val="24"/>
          <w:szCs w:val="24"/>
        </w:rPr>
        <w:t xml:space="preserve">for the proposal to use land use values </w:t>
      </w:r>
      <w:r w:rsidR="005868C1">
        <w:rPr>
          <w:sz w:val="24"/>
          <w:szCs w:val="24"/>
        </w:rPr>
        <w:t xml:space="preserve">(revealed preference) </w:t>
      </w:r>
      <w:r w:rsidRPr="003A15C4">
        <w:rPr>
          <w:sz w:val="24"/>
          <w:szCs w:val="24"/>
        </w:rPr>
        <w:t xml:space="preserve">rather than time savings </w:t>
      </w:r>
    </w:p>
    <w:p w:rsidR="00D20F68" w:rsidRPr="003A15C4" w:rsidRDefault="00D20F68" w:rsidP="00935E46">
      <w:pPr>
        <w:numPr>
          <w:ilvl w:val="0"/>
          <w:numId w:val="1"/>
        </w:numPr>
        <w:spacing w:after="80" w:line="240" w:lineRule="auto"/>
        <w:rPr>
          <w:sz w:val="24"/>
          <w:szCs w:val="24"/>
        </w:rPr>
      </w:pPr>
      <w:r w:rsidRPr="003A15C4">
        <w:rPr>
          <w:sz w:val="24"/>
          <w:szCs w:val="24"/>
        </w:rPr>
        <w:t>Some support for LEPs in relation to jobs</w:t>
      </w:r>
      <w:r w:rsidR="003A15C4" w:rsidRPr="003A15C4">
        <w:rPr>
          <w:sz w:val="24"/>
          <w:szCs w:val="24"/>
        </w:rPr>
        <w:t xml:space="preserve"> (61% positive)</w:t>
      </w:r>
      <w:r w:rsidRPr="003A15C4">
        <w:rPr>
          <w:sz w:val="24"/>
          <w:szCs w:val="24"/>
        </w:rPr>
        <w:t xml:space="preserve">, </w:t>
      </w:r>
      <w:r w:rsidR="003A15C4" w:rsidRPr="003A15C4">
        <w:rPr>
          <w:sz w:val="24"/>
          <w:szCs w:val="24"/>
        </w:rPr>
        <w:t xml:space="preserve">evenly split </w:t>
      </w:r>
      <w:r w:rsidR="005868C1">
        <w:rPr>
          <w:sz w:val="24"/>
          <w:szCs w:val="24"/>
        </w:rPr>
        <w:t xml:space="preserve">views </w:t>
      </w:r>
      <w:r w:rsidR="003A15C4" w:rsidRPr="003A15C4">
        <w:rPr>
          <w:sz w:val="24"/>
          <w:szCs w:val="24"/>
        </w:rPr>
        <w:t xml:space="preserve">on </w:t>
      </w:r>
      <w:r w:rsidR="005868C1">
        <w:rPr>
          <w:sz w:val="24"/>
          <w:szCs w:val="24"/>
        </w:rPr>
        <w:t xml:space="preserve">their impact on </w:t>
      </w:r>
      <w:r w:rsidR="003A15C4" w:rsidRPr="003A15C4">
        <w:rPr>
          <w:sz w:val="24"/>
          <w:szCs w:val="24"/>
        </w:rPr>
        <w:t xml:space="preserve">health </w:t>
      </w:r>
      <w:r w:rsidR="005868C1">
        <w:rPr>
          <w:sz w:val="24"/>
          <w:szCs w:val="24"/>
        </w:rPr>
        <w:t>outcomes</w:t>
      </w:r>
      <w:r w:rsidR="003A15C4" w:rsidRPr="003A15C4">
        <w:rPr>
          <w:sz w:val="24"/>
          <w:szCs w:val="24"/>
        </w:rPr>
        <w:t xml:space="preserve">, but seen as </w:t>
      </w:r>
      <w:r w:rsidR="005868C1">
        <w:rPr>
          <w:sz w:val="24"/>
          <w:szCs w:val="24"/>
        </w:rPr>
        <w:t xml:space="preserve">much </w:t>
      </w:r>
      <w:r w:rsidR="003A15C4" w:rsidRPr="003A15C4">
        <w:rPr>
          <w:sz w:val="24"/>
          <w:szCs w:val="24"/>
        </w:rPr>
        <w:t>more negative</w:t>
      </w:r>
      <w:r w:rsidRPr="003A15C4">
        <w:rPr>
          <w:sz w:val="24"/>
          <w:szCs w:val="24"/>
        </w:rPr>
        <w:t xml:space="preserve"> in relation to sustainability, </w:t>
      </w:r>
      <w:r w:rsidR="005868C1">
        <w:rPr>
          <w:sz w:val="24"/>
          <w:szCs w:val="24"/>
        </w:rPr>
        <w:t xml:space="preserve">but </w:t>
      </w:r>
      <w:r w:rsidRPr="003A15C4">
        <w:rPr>
          <w:sz w:val="24"/>
          <w:szCs w:val="24"/>
        </w:rPr>
        <w:t xml:space="preserve">with many comments stressing the high variability of </w:t>
      </w:r>
      <w:r w:rsidR="005868C1">
        <w:rPr>
          <w:sz w:val="24"/>
          <w:szCs w:val="24"/>
        </w:rPr>
        <w:t xml:space="preserve">their </w:t>
      </w:r>
      <w:r w:rsidRPr="003A15C4">
        <w:rPr>
          <w:sz w:val="24"/>
          <w:szCs w:val="24"/>
        </w:rPr>
        <w:t>performance</w:t>
      </w:r>
    </w:p>
    <w:p w:rsidR="007E0671" w:rsidRPr="005868C1" w:rsidRDefault="002C48D0" w:rsidP="00935E46">
      <w:pPr>
        <w:numPr>
          <w:ilvl w:val="0"/>
          <w:numId w:val="1"/>
        </w:numPr>
        <w:spacing w:after="360" w:line="240" w:lineRule="auto"/>
        <w:rPr>
          <w:sz w:val="24"/>
          <w:szCs w:val="24"/>
        </w:rPr>
      </w:pPr>
      <w:r>
        <w:rPr>
          <w:sz w:val="24"/>
          <w:szCs w:val="24"/>
        </w:rPr>
        <w:t>Strong preference (77</w:t>
      </w:r>
      <w:r w:rsidR="00D20F68" w:rsidRPr="00BE4C6F">
        <w:rPr>
          <w:sz w:val="24"/>
          <w:szCs w:val="24"/>
        </w:rPr>
        <w:t xml:space="preserve">%) for granting new powers to city regions and </w:t>
      </w:r>
      <w:r w:rsidR="003A15C4">
        <w:rPr>
          <w:sz w:val="24"/>
          <w:szCs w:val="24"/>
        </w:rPr>
        <w:t>combined authorities, but serious concerns that these would fail without sufficient funding.</w:t>
      </w:r>
    </w:p>
    <w:p w:rsidR="00A97D0D" w:rsidRDefault="00A97D0D" w:rsidP="00935E46">
      <w:pPr>
        <w:spacing w:after="80" w:line="240" w:lineRule="auto"/>
        <w:rPr>
          <w:sz w:val="24"/>
          <w:szCs w:val="24"/>
        </w:rPr>
      </w:pPr>
    </w:p>
    <w:p w:rsidR="00BE4C6F" w:rsidRPr="00BE4C6F" w:rsidRDefault="00CB794D" w:rsidP="00935E46">
      <w:pPr>
        <w:spacing w:after="80" w:line="240" w:lineRule="auto"/>
        <w:rPr>
          <w:sz w:val="24"/>
          <w:szCs w:val="24"/>
        </w:rPr>
      </w:pPr>
      <w:r w:rsidRPr="00BE4C6F">
        <w:rPr>
          <w:sz w:val="24"/>
          <w:szCs w:val="24"/>
        </w:rPr>
        <w:t>Ends</w:t>
      </w:r>
    </w:p>
    <w:p w:rsidR="00CB794D" w:rsidRPr="00BE4C6F" w:rsidRDefault="00612669" w:rsidP="00935E46">
      <w:pPr>
        <w:spacing w:after="0" w:line="240" w:lineRule="auto"/>
        <w:rPr>
          <w:sz w:val="24"/>
          <w:szCs w:val="24"/>
        </w:rPr>
      </w:pPr>
      <w:r w:rsidRPr="00BE4C6F">
        <w:rPr>
          <w:sz w:val="24"/>
          <w:szCs w:val="24"/>
        </w:rPr>
        <w:t>C</w:t>
      </w:r>
      <w:r w:rsidR="002C48D0">
        <w:rPr>
          <w:sz w:val="24"/>
          <w:szCs w:val="24"/>
        </w:rPr>
        <w:t xml:space="preserve">ontact: Keith Buchan, Director </w:t>
      </w:r>
      <w:r w:rsidRPr="00BE4C6F">
        <w:rPr>
          <w:sz w:val="24"/>
          <w:szCs w:val="24"/>
        </w:rPr>
        <w:t>f</w:t>
      </w:r>
      <w:r w:rsidR="002C48D0">
        <w:rPr>
          <w:sz w:val="24"/>
          <w:szCs w:val="24"/>
        </w:rPr>
        <w:t>or Skills</w:t>
      </w:r>
      <w:r w:rsidRPr="00BE4C6F">
        <w:rPr>
          <w:sz w:val="24"/>
          <w:szCs w:val="24"/>
        </w:rPr>
        <w:t>, TPS.</w:t>
      </w:r>
    </w:p>
    <w:p w:rsidR="00612669" w:rsidRPr="00BE4C6F" w:rsidRDefault="00612669" w:rsidP="00935E46">
      <w:pPr>
        <w:spacing w:after="0" w:line="240" w:lineRule="auto"/>
        <w:rPr>
          <w:sz w:val="24"/>
          <w:szCs w:val="24"/>
        </w:rPr>
      </w:pPr>
      <w:r w:rsidRPr="00BE4C6F">
        <w:rPr>
          <w:sz w:val="24"/>
          <w:szCs w:val="24"/>
        </w:rPr>
        <w:t>07788724827</w:t>
      </w:r>
    </w:p>
    <w:p w:rsidR="00612669" w:rsidRPr="00BE4C6F" w:rsidRDefault="00A97D0D" w:rsidP="00935E46">
      <w:pPr>
        <w:spacing w:line="240" w:lineRule="auto"/>
        <w:rPr>
          <w:sz w:val="24"/>
          <w:szCs w:val="24"/>
        </w:rPr>
      </w:pPr>
      <w:hyperlink r:id="rId8" w:history="1">
        <w:r w:rsidR="00612669" w:rsidRPr="00BE4C6F">
          <w:rPr>
            <w:rStyle w:val="Hyperlink"/>
            <w:sz w:val="24"/>
            <w:szCs w:val="24"/>
          </w:rPr>
          <w:t>kb.tps@mtru.com</w:t>
        </w:r>
      </w:hyperlink>
      <w:r w:rsidR="00612669" w:rsidRPr="00BE4C6F">
        <w:rPr>
          <w:sz w:val="24"/>
          <w:szCs w:val="24"/>
        </w:rPr>
        <w:t xml:space="preserve"> </w:t>
      </w:r>
    </w:p>
    <w:sectPr w:rsidR="00612669" w:rsidRPr="00BE4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675E1"/>
    <w:multiLevelType w:val="hybridMultilevel"/>
    <w:tmpl w:val="164C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54"/>
    <w:rsid w:val="000A5E50"/>
    <w:rsid w:val="00130455"/>
    <w:rsid w:val="00147E52"/>
    <w:rsid w:val="001E1293"/>
    <w:rsid w:val="00256519"/>
    <w:rsid w:val="002601CA"/>
    <w:rsid w:val="002C48D0"/>
    <w:rsid w:val="002E53FD"/>
    <w:rsid w:val="00366298"/>
    <w:rsid w:val="00386813"/>
    <w:rsid w:val="003A15C4"/>
    <w:rsid w:val="003B630A"/>
    <w:rsid w:val="003F533D"/>
    <w:rsid w:val="004B2901"/>
    <w:rsid w:val="0051258C"/>
    <w:rsid w:val="005868C1"/>
    <w:rsid w:val="005E5FFA"/>
    <w:rsid w:val="00612669"/>
    <w:rsid w:val="00700E84"/>
    <w:rsid w:val="00724260"/>
    <w:rsid w:val="0075282E"/>
    <w:rsid w:val="007E0671"/>
    <w:rsid w:val="008B58B8"/>
    <w:rsid w:val="00935E46"/>
    <w:rsid w:val="00940B5C"/>
    <w:rsid w:val="0096619A"/>
    <w:rsid w:val="009E5C4D"/>
    <w:rsid w:val="00A061B8"/>
    <w:rsid w:val="00A97D0D"/>
    <w:rsid w:val="00BE4C6F"/>
    <w:rsid w:val="00C05D78"/>
    <w:rsid w:val="00C12C40"/>
    <w:rsid w:val="00C7540E"/>
    <w:rsid w:val="00C8495C"/>
    <w:rsid w:val="00CB794D"/>
    <w:rsid w:val="00CF17F9"/>
    <w:rsid w:val="00D20F68"/>
    <w:rsid w:val="00EC444F"/>
    <w:rsid w:val="00ED5D54"/>
    <w:rsid w:val="00EF2A7A"/>
    <w:rsid w:val="00FF6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94D"/>
    <w:rPr>
      <w:color w:val="0000FF" w:themeColor="hyperlink"/>
      <w:u w:val="single"/>
    </w:rPr>
  </w:style>
  <w:style w:type="paragraph" w:styleId="BalloonText">
    <w:name w:val="Balloon Text"/>
    <w:basedOn w:val="Normal"/>
    <w:link w:val="BalloonTextChar"/>
    <w:uiPriority w:val="99"/>
    <w:semiHidden/>
    <w:unhideWhenUsed/>
    <w:rsid w:val="00FF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CE"/>
    <w:rPr>
      <w:rFonts w:ascii="Tahoma" w:hAnsi="Tahoma" w:cs="Tahoma"/>
      <w:sz w:val="16"/>
      <w:szCs w:val="16"/>
    </w:rPr>
  </w:style>
  <w:style w:type="table" w:styleId="TableGrid">
    <w:name w:val="Table Grid"/>
    <w:basedOn w:val="TableNormal"/>
    <w:uiPriority w:val="59"/>
    <w:rsid w:val="007E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94D"/>
    <w:rPr>
      <w:color w:val="0000FF" w:themeColor="hyperlink"/>
      <w:u w:val="single"/>
    </w:rPr>
  </w:style>
  <w:style w:type="paragraph" w:styleId="BalloonText">
    <w:name w:val="Balloon Text"/>
    <w:basedOn w:val="Normal"/>
    <w:link w:val="BalloonTextChar"/>
    <w:uiPriority w:val="99"/>
    <w:semiHidden/>
    <w:unhideWhenUsed/>
    <w:rsid w:val="00FF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CE"/>
    <w:rPr>
      <w:rFonts w:ascii="Tahoma" w:hAnsi="Tahoma" w:cs="Tahoma"/>
      <w:sz w:val="16"/>
      <w:szCs w:val="16"/>
    </w:rPr>
  </w:style>
  <w:style w:type="table" w:styleId="TableGrid">
    <w:name w:val="Table Grid"/>
    <w:basedOn w:val="TableNormal"/>
    <w:uiPriority w:val="59"/>
    <w:rsid w:val="007E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8163">
      <w:bodyDiv w:val="1"/>
      <w:marLeft w:val="0"/>
      <w:marRight w:val="0"/>
      <w:marTop w:val="0"/>
      <w:marBottom w:val="0"/>
      <w:divBdr>
        <w:top w:val="none" w:sz="0" w:space="0" w:color="auto"/>
        <w:left w:val="none" w:sz="0" w:space="0" w:color="auto"/>
        <w:bottom w:val="none" w:sz="0" w:space="0" w:color="auto"/>
        <w:right w:val="none" w:sz="0" w:space="0" w:color="auto"/>
      </w:divBdr>
    </w:div>
    <w:div w:id="399522812">
      <w:bodyDiv w:val="1"/>
      <w:marLeft w:val="0"/>
      <w:marRight w:val="0"/>
      <w:marTop w:val="0"/>
      <w:marBottom w:val="0"/>
      <w:divBdr>
        <w:top w:val="none" w:sz="0" w:space="0" w:color="auto"/>
        <w:left w:val="none" w:sz="0" w:space="0" w:color="auto"/>
        <w:bottom w:val="none" w:sz="0" w:space="0" w:color="auto"/>
        <w:right w:val="none" w:sz="0" w:space="0" w:color="auto"/>
      </w:divBdr>
    </w:div>
    <w:div w:id="544485725">
      <w:bodyDiv w:val="1"/>
      <w:marLeft w:val="0"/>
      <w:marRight w:val="0"/>
      <w:marTop w:val="0"/>
      <w:marBottom w:val="0"/>
      <w:divBdr>
        <w:top w:val="none" w:sz="0" w:space="0" w:color="auto"/>
        <w:left w:val="none" w:sz="0" w:space="0" w:color="auto"/>
        <w:bottom w:val="none" w:sz="0" w:space="0" w:color="auto"/>
        <w:right w:val="none" w:sz="0" w:space="0" w:color="auto"/>
      </w:divBdr>
    </w:div>
    <w:div w:id="723413416">
      <w:bodyDiv w:val="1"/>
      <w:marLeft w:val="0"/>
      <w:marRight w:val="0"/>
      <w:marTop w:val="0"/>
      <w:marBottom w:val="0"/>
      <w:divBdr>
        <w:top w:val="none" w:sz="0" w:space="0" w:color="auto"/>
        <w:left w:val="none" w:sz="0" w:space="0" w:color="auto"/>
        <w:bottom w:val="none" w:sz="0" w:space="0" w:color="auto"/>
        <w:right w:val="none" w:sz="0" w:space="0" w:color="auto"/>
      </w:divBdr>
    </w:div>
    <w:div w:id="902983684">
      <w:bodyDiv w:val="1"/>
      <w:marLeft w:val="0"/>
      <w:marRight w:val="0"/>
      <w:marTop w:val="0"/>
      <w:marBottom w:val="0"/>
      <w:divBdr>
        <w:top w:val="none" w:sz="0" w:space="0" w:color="auto"/>
        <w:left w:val="none" w:sz="0" w:space="0" w:color="auto"/>
        <w:bottom w:val="none" w:sz="0" w:space="0" w:color="auto"/>
        <w:right w:val="none" w:sz="0" w:space="0" w:color="auto"/>
      </w:divBdr>
    </w:div>
    <w:div w:id="1488521196">
      <w:bodyDiv w:val="1"/>
      <w:marLeft w:val="0"/>
      <w:marRight w:val="0"/>
      <w:marTop w:val="0"/>
      <w:marBottom w:val="0"/>
      <w:divBdr>
        <w:top w:val="none" w:sz="0" w:space="0" w:color="auto"/>
        <w:left w:val="none" w:sz="0" w:space="0" w:color="auto"/>
        <w:bottom w:val="none" w:sz="0" w:space="0" w:color="auto"/>
        <w:right w:val="none" w:sz="0" w:space="0" w:color="auto"/>
      </w:divBdr>
    </w:div>
    <w:div w:id="2012946871">
      <w:bodyDiv w:val="1"/>
      <w:marLeft w:val="0"/>
      <w:marRight w:val="0"/>
      <w:marTop w:val="0"/>
      <w:marBottom w:val="0"/>
      <w:divBdr>
        <w:top w:val="none" w:sz="0" w:space="0" w:color="auto"/>
        <w:left w:val="none" w:sz="0" w:space="0" w:color="auto"/>
        <w:bottom w:val="none" w:sz="0" w:space="0" w:color="auto"/>
        <w:right w:val="none" w:sz="0" w:space="0" w:color="auto"/>
      </w:divBdr>
    </w:div>
    <w:div w:id="20605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tps@mtru.co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2816-ACEE-4029-AFEE-A241A20C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4</cp:revision>
  <dcterms:created xsi:type="dcterms:W3CDTF">2016-01-04T16:39:00Z</dcterms:created>
  <dcterms:modified xsi:type="dcterms:W3CDTF">2016-01-14T18:25:00Z</dcterms:modified>
</cp:coreProperties>
</file>